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205</w:t>
      </w:r>
    </w:p>
    <w:p>
      <w:r>
        <w:t>Bundesgericht (BGE), 1965-11-26, DE</w:t>
      </w:r>
    </w:p>
    <w:p>
      <w:r>
        <w:rPr>
          <w:b/>
        </w:rPr>
        <w:t xml:space="preserve">Quelle: </w:t>
      </w:r>
      <w:r>
        <w:t>https://mcp.opencaselaw.ch/entscheid/bge_91 IV 205</w:t>
      </w:r>
    </w:p>
    <w:p>
      <w:r>
        <w:t>FR: ATF 91 IV 205</w:t>
      </w:r>
    </w:p>
    <w:p>
      <w:r>
        <w:t>IT: DTF 91 IV 205</w:t>
      </w:r>
    </w:p>
    <w:p>
      <w:pPr>
        <w:pStyle w:val="Heading2"/>
      </w:pPr>
      <w:r>
        <w:t>Regeste</w:t>
      </w:r>
    </w:p>
    <w:p>
      <w:r>
        <w:t>Regeste Art. 34 Abs. 3 SVG. Beim Linksabbiegen ist nicht nur auf das unmittelbar nachfolgende Fahrzeug, sondern auch auf solche, die von weiter hinten kommend andere zu überholen im Begriffe stehen, Rücksicht zu nehmen.</w:t>
      </w:r>
    </w:p>
    <w:p>
      <w:pPr>
        <w:pStyle w:val="Heading2"/>
      </w:pPr>
      <w:r>
        <w:t>Erwägungen</w:t>
      </w:r>
    </w:p>
    <w:p>
      <w:r>
        <w:rPr>
          <w:b/>
        </w:rPr>
        <w:t>E. 1</w:t>
      </w:r>
    </w:p>
    <w:p>
      <w:r>
        <w:t>Der Beschwerdeführer macht geltend, die Pflicht des nach links abbiegenden Fahrzeugführers, unter den in BGE 91 IV 13 genannten Umständen, insbesondere ausserhalb von BGE 91 IV 205 S. 206 Strassenverzweigungen sich sorgfältig darüber zu vergewissern, ob er nicht ein nachfolgendes Fahrzeug gefährde, gelte nur gegenüber einem unmittelbar nachfolgenden, nicht aber gegenüber einem solchen, das von weiter hinten kommend mehrere Fahrzeuge nacheinander überhole. Diese Auffassung hält schon vor dem Wortlaut des Art. 34 Abs. 3 SVG nicht stand, der nicht bloss vom nachfolgenden Fahrzeug spricht, sondern Rücksichtnahme gegenüber allen nachfolgenden Fahrzeugen verlangt. Wie diese Bestimmung ihren Zweck erfüllen könnte, wenn der Linksabbiegende lediglich auf das nächstfolgende Fahrzeug zu achten hätte, wäre auch nicht zu ersehen. Es ist nicht verboten, auf freien und übersichtlichen Strecken zwei oder mehrere Fahrzeuge in einem Zug zu überholen, wenn die nötige Vorsicht angewendet wird und der Überholende die Gewissheit hat, dass er rechtzeitig und ohne Behinderung anderer Fahrzeuge wieder einbiegen kann ( Art. 35 Abs. 2 SVG ). Unter solchen Umständen kann sich daher der ausserhalb einer Verzweigung nach links Abbiegende auch dann, wenn er sicher ist, dass der ihm unmittelbar nachfolgende Fahrzeugführer seine Absicht erkannte, nicht darauf verlassen, dass kein anderer sich von weiter hinten nähern werde und ihn links zu überholen versuchen könnte. Gerade weil mit dieser Möglichkeit gerechnet werden muss und die Gefahr, dass der Überholende das beabsichtigte Abbiegemanöver nicht rechtzeitig erkennt, in solchen Fällen besonders gross ist, hat der Linksabbiegende umsomehr Rücksicht zu nehmen und sich zu vergewissern, ob er kein nachfolgendes Fahrzeug gefährde.</w:t>
      </w:r>
    </w:p>
    <w:p>
      <w:r>
        <w:rPr>
          <w:b/>
        </w:rPr>
        <w:t>E. 2</w:t>
      </w:r>
    </w:p>
    <w:p>
      <w:r>
        <w:t>Es kann auch keine Rede davon sein, dass der Beschwerdeführer alles getan habe, was ihm zugemutet werden konnte, und dass er keine Möglichkeit gehabt habe, den Wagen Wachters vor der Kollision wahrzunehmen. Hätte er sich nicht damit begnügt, vor dem Abbiegen bloss das unmittelbar nachfolgende Fahrzeug im Rückspiegel zu beobachten, sondern sich pflichtgemäss durch geeignete Vorkehren, z.B. einen kurzen Sicherheitshalt, Gewissheit verschafft, ob sich nicht ein Fahrzeug von weiter hinten nähere, so hätte er den herannahenden Wagen, ungeachtet seiner Geschwindigkeit von 100 oder 110 km/Std, auf alle Fälle rechtzeitig sehen können und demzufolge mit dem Abbiegen zuwarten müssen, legte doch der Volvo bei den Abständen von nahezu 100 m, die zwischen BGE 91 IV 205 S. 207 den zu überholenden Fahrzeugen eingehalten wurden, eine längere Strecke auf der linken Hälfte der gerade verlaufenden Strasse zurück. Dem Beschwerdeführer wird daher die ungenü gende Sorgfalt, mit der er nach links abbog, zu Recht als Übertretung von Art. 34 Abs. 3 SVG zur Last gelegt.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